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11.12.2019, оставленным без изменения постановлением Девятого арбитражного апелляционного суда от 25.02.2020, в иске отказано. 2 Постановлением Арбитражного суда Московского округа от 21.07.2020 указанные судебные акты оставлены без изменения. Истец обратился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309, 310, 401, 406, 450, 702, 718, 719, 759, 763 Гражданского кодекса Российской Федерации, суды отказали в иске, признав, что ответчиком как подрядчиком надлежащим образом выполнены обязательства по контракту в установленный срок, прохождение государственной экспертизы произошло в силу ненадлежащего выполнения истцом обязательств по предоставлению необходимых для прохождения такой экспертизы документов. Доводы жалобы были предметом исследования судов и получили исчерпывающую правовую оценку при отсутствии установленной судами причинно-следственной связи между действиями ответчика и отрицательным заключением государственной экспертизы, не согласиться с которыми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