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25.02.2020 оспариваемое постановление признано незаконным и изменено в части назначения наказания, штраф заменен на предупреждение. Постановлением Четырнадцатого арбитражного апелляционного суда от 01.06.2020 решение суда первой инстанции изменено, оспариваемое постановление признано незаконным и изменено в части назначения наказания, штраф снижен до 150 000 рублей, в удовлетворении остальной части требований отказано. Постановлением Арбитражного суда Северо-Западного округа от 17.08.2020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оставить в силе решение суда первой инстанции.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использования обществом транспортного средства для осуществления регулярных перевозок пассажиров при отсутствии карты маршрута.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Суд первой инстанции пришел к выводам о наличии в действиях общества состава административного правонарушения, признав, что карта 3 маршрута является обязательным документом, подтверждающим законное право на осуществление перевозок по соответствующему маршруту, и только при ее наличии лицо имеет право использовать транспортное средство для осуществления регулярных перевозок пассажиров по определенному маршруту, однако с учетом статьи 4.1.1 Кодекса Российской Федерации об административных правонарушениях заменил назначенное наказание в виде административного штрафа на предупреждение. Суд апелляционной инстанции не усмотрел условий для замены штрафа на предупреждение, изменил решение суда, снизив размер штрафа ниже низшего размера санкции нормы. Суд округа согласился с выводами суда апелляционной инстанции. Оснований для иных выводов, исходя из доводов жалобы, не имеется. Вопреки доводам жалобы при рассмотрении вопроса о законности постановления административного органа о привлечении к административной ответственности арбитражный суд руководствуется нормами Арбитражного процессуального кодекса Российской Федерации, а не нормами Кодекса Российской Федерации об административных правонарушениях (пункт 14 постановления Пленума Высшего Арбитражного Суда Российской Федерации от 27.01.2003 № 2 «О некоторых вопросах, связанных с введением в действие Кодекса Российской Федерации об административных правонарушениях»). При этом позиция заявителя жалобы непоследовательна и противоречива, поскольку он просит оставить в силе решение суда первой инстанции, которым также сделан вывод о наличии в действиях общества состава вменяемого правонарушения, однако в самой жалобы указывает на отсутствие оснований для привлечения к ответственности в связи с отсутствием события правонарушения.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