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объединенного дела № А07-31144/2018 Арбитражным судом Республики Башкортостан рассмотрены иски государственного казенного учреждения Служба весового контроля Республики Башкортостан (после переименования – государственное казенное учреждение Республики Башкортостан Центр организации дорожного движения) о взыскании с общества с ограниченной ответственностью «Уфаинвест» 117 911 рублей ущерба, причиненного автомобильным дорогам. К участию в деле в качестве третьих лиц, не заявляющих самостоятельных требований относительно предмета спора, привлечены Ахкамов Нияз Мидхатович, индивидуальный предприниматель Рафиков Тимур Шамильевич, государственное казенное учреждение Управление дорожного хозяйства Республики Башкортостан. Решением Арбитражного суда Республики Башкортостан от 22.11.2019 иск удовлетворен. 2 Постановлением Восемнадцатого арбитражного апелляционного суда от 18.02.2020 решение суда первой инстанции оставлено без изменения. Арбитражный суд Уральского округа постановлением от 03.08.2020 указанные судебные акты оставил без изменения. Общество с ограниченной ответственностью «Уфаинвест»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1064, 1079, 1082 Гражданского кодекса Российской Федерации, статьями 11, 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16.11.2009 № 934 «О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 суды признали требование о взыскании платы за провоз тяжеловесного груза в счет возмещения ущерба, причиненного автомобильным дорогам, обоснованным и подлежащим удовлетворению, исходя из доказанности факта превышения ответчиком предельно допустимых значений нагрузки на ось транспортного средства и отсутствия специального разрешения на перевозку тяжеловесного груза в период временных ограничений при передвижении по дорогам общего пользования регионального и межмуниципального значения, наличия причинно-следственной связи между действиями ответчика и 3 возникшими убытками, повлекшими причинение дорожному полотну повреждений (в том числе способствующих разрушению полотна). Доводы жалобы об отсутствии доказательств факта причинения ущерба, недействительности актов взвешивания, отсутствии доказательств информирования о временных ограничениях были рассмотрены судами и им дана надлежащая оценка. Указанные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«Уфаинвест»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