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09.10.2019, оставленным без изменения постановлением Девятого арбитражного апелляционного суда от 27.01.2020, иск удовлетворен частично, с ответчика в пользу истца взыскано 2 6 171 600 рублей выплаты по банковской гарантии, 49 372,8 рублей неустойки, в удовлетворении остальной части иска отказано. Постановлением Арбитражного суда Московского округа от 30.07.2020 указанные судебные акты оставлены без изменения. Банк обратился в Верховный Суд Российской Федерации с кассационной жалобой, в которой просит принятые по делу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Удовлетворяя иск в обжалуемой части, суды, оценив представленные сторонами доказательства, руководствуясь статьями 368, 370, 374, 376, 377, 379 Гражданского кодекса Российской Федерации, с учетом условий банковской гарантии, пришли к выводу о том, что требование платежа по гарантии соответствовало условиям гарантии и нормам законодательства; факт наличия задолженности документально подтвержден, расчет судами проверен и признан правильным. Доводы кассационной жалобы были предметом исследования судов и получили исчерпывающую правовую оценку применительно к конкретным установленным обстоятельствам, не согласиться с которыми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