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13.12.2017 требование общества с ограниченной ответственностью «Виктория Классик» в размере 36 000 000 рублей признано обоснованным и включено в реестр требований кредиторов должника, производство по требованию кредитора к должнику в части расходов по уплате государственной пошлине в сумме 60 000 рублей прекращено. Впоследствии финансовый управляющий имуществом должника Валюжинич П.М. обратилась в Девятый арбитражный апелляционный суд с апелляционной жалобой на вышеуказанное определение суда первой инстанции от 13.12.2017, заявив ходатайство о восстановлении пропущенного срока на подачу жалобы. Определением Девятого арбитражного апелляционного суда от 04.06.2020, оставленным без изменения постановлением Арбитражного суда Московского округа от 26.08.2020, указанная апелляционная жалоба возвращена заявителю. В кассационной жалобе, поданной в Верховный Суд Российской Федерации, заявитель просит отменить указанные определение апелляционного суда от 04.06.2020 и постановление суда округа от 26.08.2020, направить вопрос на новое рассмотрение в Девятый арбитражный апелляционный суд.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суд, руководствуясь положениями статей 259 и 264 Арбитражного процессуального кодекса Российской Федерации, пункта 6 статьи 20.3 Федерального закона от 26.10.2002 № 127-ФЗ «О несостоятельности (банкротстве)», исходил из её подачи по истечении пресекательного шестимесячного срока, в пределах которого срок подачи жалобы может быть восстановлен.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Горделадзе Ильи Шотаевича Валюжинич Полине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