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обществом с ограниченной ответственностью Коммерческий банк «АйМаниБанк» государственная корпорация «Агентство по страхованию вкладов» (далее – кредитор) обратился в суд с заявлением о восстановлении пропущенного срока на обращение с заявлением о включении в реестр требований кредиторов должника и включении требований в размере 1 280 000 рублей в реестр как обеспеченных залогом имущества должника. Определением Арбитражного суда города Москвы от 13.03.2020, оставленным без изменения постановлением Девятого арбитражного апелляционного суда от 06.07.2020, в удовлетворении заявленных требований отказано. Постановлением Арбитражного суда Московского округа от 04.09.2020 указанные выше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положениями статей 335, 352 Гражданского кодекса Российской Федерации, пунктом 26 постановления Пленума Высшего Арбитражного Суда Российской Федерации от 22.06.2012 №35 «О некоторых процессуальных вопросах, связанных с рассмотрением дел о банкротстве», исходил из того, что изложенные в них выводы основаны на неполном выяснении фактических обстоятельств дела, имеющихся в нём доказательств, касающихся установления наличия (либо отсутствия) добросовестности банка как залогодержателя применительно к праву сохранения залога при переходе прав на имущество к другому лицу.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Матаевой Анжелы Закойевны Кручининой Марине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