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28.11.2019, оставленным без изменения постановлениями Двадцатого арбитражного апелляционного суда 2 от 03.03.2020 и Арбитражного суда Центрального округа от 05.08.2020, в удовлетворении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исполнении у судебного пристава-исполнителя отдела судебных приставов города Узловая и Узловского района находится сводное исполнительное производство № 25428/14/21/71-СД о взыскании с общества денежных средств в пользу налогового органа и пенсионного фонда, а также исполнительное производство от 26.07.2014 № 25428/14/21/71 о взыскании налогов, сборов, пени, штрафов, процентов в размере 2 059 673 рублей 59 копеек, возбужденное на основании постановления инспекции. Постановлением заместителя начальника отдела от 21.08.2019 арестованное имущество: нежилое здание, площадью 3 966,1 квадратных метров, кадастровый номер 71:31:030103:606, расположенное по адресу: Тульская область, Узловский район, г. Узловая, ул. 14 Декабря, д. 2, общей стоимостью 22 318 000 рублей, определенной отчетом общества с ограниченной ответственностью «СМВ Консалтинг» от 22.04.2019 № 1406/19, передано в управление Росимущества на реализацию на открытых торгах, проводимых в форме аукциона. Не согласившись с постановлением заместителя начальника отдела от 21.08.2019 о передаче арестованного имущества на торги, общество обратилось в арбитражный суд. Отказывая в удовлетворении заявления,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статей 198, 329 Арбитражного процессуального кодекса Российской Федерации,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с учетом правовой 3 позиции, изложенной в пункте 16 Обзора судебной практики Верховного Суда Российской Федерации № 1 (2016), утвержденного Президиумом Верховного Суда Российской Федерации 13.04.2016, пришли к выводу о том, что оспариваемое постановление соответствует закону и не нарушает права и интересы должника. Судебные инстанции исходили из того, что требования исполнительных документов в рамках сводного исполнительного производства должником не исполнены, наличие иных соразмерных доходов или имущества, достаточных для исполнения требований исполнительных документов, на которые возможно обратить взыскание, должником не представлено. Доводы общества о не привлечении к участию в деле в качестве третьего лица, не заявляющего самостоятельных требований относительно предмета спора, территориального органа Пенсионного фонда Российской Федерации не подтверждают существенных нарушений судами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заявителя. По существу доводы жалобы повторяют позицию общества по спору,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основаны на ином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«Социально-культурный комплекс «Машиностроитель»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