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Рязанской области от 20.09.2019, оставленным без изменения постановлением Двадцатого арбитражного апелляционного суда от 27.11.2019 и постановлением Арбитражного суда Центрального округа от 22.07.2020, иск удовлетворен частично. В кассационной жалобе фонд просит об отмене судебных актов, ссылаясь на то, что является ненадлежащим ответчиком.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заявленные убытки возникли в связи с осуществлением фондом деятельности по капитальному ремонту многоквартирного жилого дома, обязательства по которому перед собственниками помещения, получившими возмещение убытков от страховщика, регулируются нормами Жилищного кодекса Российской Федерации. Подрядчик, повредивший имущество при производстве работ, отвечает перед фондом в силу действующего между ними договора, а не перед собственниками.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Фонду капитального ремонта многоквартирных домов Рязанской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