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12.12.2019, оставленным без изменения постановлением Пятнадцатого арбитражного апелляционного суда от 05.03.2020 и постановлением Арбитражного суда Северо-Кавказского округа от 17.07.2020, исковые требования удовлетворены. В кассационной жалобе общество «Амико» просит о пересмотре судебных актов, ссылаясь на отсутствие задолженности, игнорирование его доводов о недействительности цессии и необходимости участия в деле старого кредитора и налогового органа.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факт поставки товара признан ответчиком посредством оплаты большей части его стоимости до предъявления рассматриваемого иска, поэтому остаток задолженности в спорной сумме взыскан в соответствии со статьями 486, 506, 516 Гражданского кодекса Российской Федерации. Довод о действительности договора цессии от 30.10.2018 № 58/4 проверен и предмет передаваемых требований признан определенным. Полученные после завершения процесса по данному делу сведения о создании спорной задолженности согласованными действиями руководителей сторон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«Амико»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