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кредитор обратился в суд с ходатайством о разрешении разногласий, возникших между ним и финансовым управляющим имуществом должника Юртаевым Дмитрием Михайловичем относительно имущества, подлежащего исключению из конкурсной массы. Определением Арбитражного суда Тверской области от 31.03.2020, оставленным без изменения постановлениями Четырнадцатого арбитражного апелляционного суда от 22.06.2020 и Арбитражного суда Северо-Западного округа от 15.09.2020, разногласия разрешены. Из конкурсной массы должника исключено следующее недвижимое имущество: земельный участок с кадастровым номером 69:10:0122401:283 площадью 1 200 квадратных метров и расположенный на нем жилой дом с кадастровым номером 69:10:0122401:349 площадью 150,7 квадратных метров по адресу: Тверская область, Калининский район, сельское поселение Михайловское, деревня Глазково, улица Дачная, дом 37 (далее – спорное имущество). В кассационной жалобе, поданной в Верховный Суд Российской Федерации, заявитель просит отменить указанные судебные акты и направить дело на новое рассмотрение в Арбитражный суд Тверской области. По смыслу части 1 статьи 291.1, части 7 статьи 291.6, статьи 291.11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статьёй 446 Гражданского процессуального кодекса Российской Федерации, статьями 60, 213.25, 213.26 Федерального закона от 26.10.2002 № 127-ФЗ «О несостоятельности (банкротстве)», разъяснениями, приведёнными в постановлении Пленума Верховного Суда Российской Федерации от 25.12.2018 № 48 «О некоторых вопросах, связанных с особенностями формирования и распределения конкурсной массы в делах о банкротстве граждан», исходили из того, что спорное имущество является единственным пригодным для проживания должника и членов его семьи, обладает исполнительским иммунитетом, не является чрезмерным и в большей степени способствует реализации конституционного права на жилье.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«КВК-Групп»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