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10.01.2020, оставленным без изменения постановлением Двенадцатого арбитражного апелляционного суда от 18.05.2020, в удовлетворении требования отказано. Постановлением Арбитражного суда Поволжского округа от 11.08.2020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несоответствии автомобильной дороги требованиям Технического регламента Таможенного союза ТР ТС 014/2011 «Безопасность автомобильных дорог».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доказательства, суды пришли к выводу о наличии в действиях общества состава правонарушения, ответственность за 3 совершение которого предусмотрена частью 1 статьи 14.43 Кодекса Российской Федерации об административных правонарушениях, признав, что на общество как подрядную организацию на основании государственного контракта возложена обязанность по содержанию автомобильной дороги. Судами установлено, что процедура и срок давности привлечения к административной ответственности соблюдены. Штраф назначен в минимальном размере санкции нормы. Дело рассмотрено судом округа согласно части 5.1 статьи 211 Арбитражного процессуального кодекса Российской Федерации по правилам части 2 статьи 288.2 Арбитражного процессуального кодекса Российской Федерации в соответствии с разъяснениями, изложенными в пункте 44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