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01.11.2019, оставленным без изменения постановлением Четвертого арбитражного апелляционного суда от 20.12.2019, в иске отказано. Постановлением Арбитражного суда Восточно-Сибирского округа от 04.08.2020 указанные судебные акты оставлены без изменения. Истец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15, 1102, 1109 Гражданского кодекса Российской Федерации, статей 1, 3, 12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не установив правовых оснований для взыскания понесенных истцом затрат с ответчика. Доводы жалобы были предметом исследования судов и получили исчерпывающую правовую оценку исходя из установленных обстоятельств, свидетельствующих об отсутствии каких-либо обязательств ответчика перед истцом,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