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10.11.2020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Оценив приведенные заявителем причины пропуска процессуального срока, судья признает их уважительными. Поскольку ходатайство о восстановлении пропущенного процессуального срока заявлено в пределах установленного срока, причины пропуска срока признаны судом уважительными, данное ходатайство подлежит удовлетворению на основании части 2 статьи 291.2 Арбитражного процессуального кодекса Российской Федерации.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федерального государственного унитарного предприятия «Охрана» Федеральной службы войск национальной гвардии в лице филиала по городу Санкт-Петербургу и Ленинградской области о восстановлении пропущенного срока удовлетворить, срок на подачу кассационной жалобы восстановить.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