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Харченко Владимир Владимирович обратился в суд с заявлением о процессуальной замене кредитора – публичного акционерного общества «Банк ВТБ» на себя на основании договора купли- продажи закладной от 22.08.2019, оплаты банку цены уступаемого права и получения от него соответствующих документов. Определением Арбитражного суда города Москвы от 13.12.2019, оставленным без изменения постановлениями Девятого арбитражного апелляционного суда от 11.03.2020 и Арбитражного суда Московского округа от 21.07.2020,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статьями 382, 384, 421, 424 Гражданского кодекса Российской Федерации, и исходил из того, что банк как первоначальный кредитор был правомочен самостоятельно решать вопрос передачи своего действительного права требования к должнику, а замена стороны в обязательстве сама по себе не повлекла причинения вреда последнему и его кредиторам, что послужило основанием для осуществления процессуальной замены кредитора его правопреемником. С указанными выводами впоследствии согласились суды апелляционной инстанции и округа, указав, что действующим законодательством не предусмотрено понижения очерёдности требований нового кредитора при разрешении заявления о процессуальной замене первоначального независимого кредитора, чьё требование уже включено в реестр требований кредиторов должника.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