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13.02.2018 суд обязал Денисову Наталью Валерьяновну передать временному управляющему должником Трулову Максиму Владимировичу заверенные копии документов должника за период с 01.01.2014 по 12.11.2015 согласно перечню, указанному в резолютивной части определения. Не согласившись с названным судебным актом, Денисова Н.В. обжаловала его в арбитражном суде апелляционной инстанции. Определением Девятого арбитражного апелляционного суда от 06.07.2020, оставленным без изменения постановлением Арбитражного суда Московского округа от 12.08.2020,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направить дело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150, 268, 259, 271 Арбитражного процессуального кодекса Российской Федерации, пунктами 30, 32 постановления Пленума Высшего Арбитражного Суда Российской Федерации от 25.12.2013 № 99 «О процессуальных сроках», исходил из отсутствия уважительных причин пропуска процессуального срока заявителем, осведомлённым надлежащим образом о начавшемся процессе в рамках дела о банкротстве должника и не приведшей убедительных доводов в обоснование невозможности осуществления соответствующих процессуальных действий в установленный законом срок. Проверяя обоснованность прекращения производства по жалобе заявителя, суд округа не установил нарушений норм процессуального права и согласился с указанными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Денисовой Наталье Валерьяновне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