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27.01.2020, оставленным без изменения постановлениями Девятого арбитражного апелляционного суда от 18.03.2020 и Арбитражного суда Московского округа от 06.08.2020, исковые требования удовлетворены.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2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Оценив представленные в материалы дела доказательства, суды, руководствуясь положениями статей 307, 309, 310, 329, 330 Гражданского кодекса Российской Федерации, пришли к выводу о наличии оснований для удовлетворения иска. Судебные инстанции исходили из доказанности несвоевременного исполнения обществом обязательств по контракту, признав расчет неустойки верным. При этом судами учтено, что ответчик заявленные министерством требования по существу не оспорил, контррасчет не представил, а также не воспользовался правом заявить о снижении размера неустойки на основании статьи 333 Гражданского кодекса Российской Федерации. Вместе с тем, судами не установлено оснований для признания заявленной ко взысканию неустойки несоразмерной последствиям нарушения обязательства. С учетом изложенного, приведенные в жалобе доводы не свидетельствуют о существенных нарушениях судами норм материального и процессуального права, повлиявших на исход дела,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в связи с чем не могут служить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«Аэродроммаш»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