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05.02.2020, оставленным без изменения постановлениями Пятнадцатого арбитражного апелляционного суда от 01.07.2020 и Арбитражного суда Северо-Кавказского округа от 17.09.2020, в удовлетворении заявленного требования отказано. В кассационной жалобе, поданной в Верховный Суд Российской Федерации, департамент ссылается на существенное нарушение судами норм 2 материального права, неполное выяснение обстоятельств, имеющих значение для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наличием в действиях департамента, выразившихся в заключении без проведения публичных процедур муниципальных контрактов на выполнение работ, связанных с осуществлением перевозок по регулируемым тарифам по муниципальным маршрутам, признаков нарушения антимонопольного законодательства, предусмотренных частью 1 статьи 15 Федерального закона от 26.07.2006 № 135-ФЗ «О защите конкуренции» (далее - Закон о защите конкуренции), антимонопольным органом выдано оспариваемое предупреждение. Предупреждением управления на департамент возложена обязанность в срок до 31.07.2019 прекратить действия, содержащие признаки нарушения антимонопольного законодательства, путем принятия мер по расторжению спорных муниципальных контрактов и заключению муниципальных контрактов на осуществление регулярных перевозок пассажиров по маршрутам, являвшимся предметом указанных муниципальных контрактов, путём проведения публичных процедур (с применением конкурентных способов определения поставщиков), предусмотренных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части 1 статьи 15, статьи 39.1 Закона о защите конкуренции, статей 8, 93 Закона о контрактной системе, Приказом Минтранса России от 08.12.2017 № 513 «О Порядке определения начальной (максимальной) цены контракта, а также цены контракта, заключаемого с 3 единственным поставщиком (подрядчиком, исполнителем), при осуществлении закупок в сфере регулярных перевозок пассажиров и багажа автомобильным транспортом и городским наземным электрическим транспортом», суды пришли к выводу о законности ненормативного акта антимонопольного органа. При этом судебные инстанции исходили из того, что действия департамента по заключению договоров без проведения конкурентных публичных процедур не соответствуют требованиям части 2 статьи 8 Закона о контрактной системе. Суды не усмотрели целесообразность выбора способа закупки у единственного подрядчика, вызванного чрезвычайно высокой социальной значимостью предоставления транспортных услуг населению и необходимостью обеспечения бесперебойного транспортного обслуживания.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дела. Несогласие департамента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транспорта города Ростова-на-Дону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