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12.12.2019, оставленным без изменения постановлением Десятого арбитражного апелляционного суда от 04.03.2020, иск удовлетворен. Арбитражный суд Московского округа постановлением от 20.07.2020 решение от 12.12.2019 и постановление Десятого арбитражного апелляционного суда от 04.03.2020 оставил без изменения. В кассационной жалобе общество «СвязьИнжСтрой» просит об отмене судебных актов вследствие неустановления его вины в возникших убытках.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Довод заявителя о неустановлении его вины в заявленных убытках неоснователен, так как в силу статей 15 , 1064 Гражданского кодекса Российской Федерации отсутствие вины в причинении вреда доказывается лицом, к которому предъявлен иск, и такового с учетом обстоятельств, установленных в деле № А40-226683/2018, общество не доказало. В указанном деле исследовались обстоятельства, касающиеся того же события, в связи с которым взыскиваются рассматриваемые убытки, и эти обстоятельства не могли быть проигнорированы судами.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«СвязьИнжСтрой»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"СТРАХОВОЕ ОБЩЕСТВО ГАЗОВОЙ ПРОМЫШЛЕННОСТИ" (подробнее) Ответчики: ООО "Связьинжстрой"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