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03.10.2019, оставленным без изменения постановлением Девятого арбитражного апелляционного суда от 20.01.2020, иск удовлетворен частично, с ответчика в пользу истца взыскана задолженность в размере 3 006 641,76 рублей, пени в размере 123 938,61 рублей, 50 000 рублей расходов на оплату услуг представителя, в удовлетворении остальной части требований отказано. Постановлением Арбитражного суда Московского округа от 20.07.2020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принятые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 частично, признав факт оказания услуг в заявленном истцом объеме надлежащего качества в отсутствие подтверждения со стороны ответчика уплаты задолженности за спорный период. Доводы кассационной жалобы были предметом исследования судов трех инстанций и получили исчерпывающую правовую оценку применительно к конкретным установленным обстоятельствам и представленным сторонами доказательствам относительно качества работ.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"В2В-СЕРВИС" (подробнее) Ответчики: ГУ ФЕДЕРАЛЬНОЕ КАЗЕННОЕ УЧРЕЖДЕНИЕ " ПО ЭКСПЛУАТАЦИИ АДМИНИСТРАТИВНЫХ ЗДАНИЙ И ДАЧНОГО ХОЗЯЙСТВА МИНИСТЕРСТВА ФИНАНСОВ РОССИЙСКОЙ ФЕДЕРАЦИИ"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