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22.01.2020, оставленным без изменения постановлениями Двадцатого арбитражного апелляционного суда от 01.06.2020 и Арбитражного суда Центрального округа от 25.08.2020, в удовлетворении заявления отказано. В кассационной жалобе предприятие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проведения на основании обращения гражданки ФИО1, проживающей в квартире 42, внеплановой выездной проверки соблюдения предприятием лицензионных требований при осуществлении предпринимательской деятельности по управлению многоквартирными домами (далее – МКД) инспекцией установлено, что действующие вентиляционные каналы в квартире 42 отсутствуют, общее имущество МКД содержится с нарушением пункта 5.5.6 Правил и норм технической эксплуатации жилищного фонда, утвержденных постановлением Госстроя РФ от 27.09.2003 № 170 (далее - Правила № 170), подпункта 1 пункта 15 раздела 2 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утвержденных постановлением Правительства Российской Федерации от 03.04.2013 № 290 (далее – Минимальный перечень № 290), подпунктов а, б, г пункта 10, подпунктов а, в, з пункта 11 Правил содержания общего имущества в многоквартирном доме, утвержденных постановлением Правительства Российской Федерации от 13.08.2006 № 491 (далее - Правила № 491). Предписанием инспекции от 24.07.2019 № 1816 на предприятие возложена обязанность по устранению выявленных нарушений в срок до 31.10.2019. Не соглашаясь с ненормативным актом инспекции, предприятие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частей 1, 1.1, 1.2, 2.3 статьи 161 , части 2 статьи 162 Жилищного кодекса Российской Федерации, Правилами № 491, Минимальным перечнем № 290, Правилами № 170, суды пришли к выводу о законности оспариваемого ненормативного акта. При этом судебные инстанции исходили из того, что предписание выдано инспекцией в пределах предоставленных ей полномочий, соответствует критериям исполнимости, препятствий к выполнению работ не имеется, ненормативный акт не нарушает прав и законных интересов предприятия, не возлагает на него не предусмотренных действующим законодательством обязанностей, предоставляет нарушителю право выбора способа устранения имеющихся нарушений. Приведенные доводы не свидетельствуют о неправильном применении судами норм материального и процессуального права, повлиявших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«Управление энергетики и жилищно-коммунального хозяйства» муниципального образования городское поселение «Город Малоярославец»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Управление энергетики и жилищно-коммунального хозяйства муниципального образования городское поселение Город Малоярославец (подробнее) МУП "Управление энергетики и ЖКХ" (подробнее) Ответчики: Государственная жилищная инспекция Калужской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