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бывший финансовый управляющий её имуществом Корнеев В.Г. обратился в суд с заявлением о взыскании с должника судебных расходов в размере 255 000 рублей. Определением Арбитражного суда города Москвы от 27.01.2020, оставленным без изменения постановлениями Девятого арбитражного апелляционного суда от 03.07.2020 и Арбитражного суда Московского округа от 01.09.2020,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 руководствовались статьями 101, 106, 110 Арбитражного процессуального кодекса Российской Федерации, пришли к выводу об отсутствии оснований для удовлетворения заявления о взыскании судебных расходов в пользу заявителя, являющегося профессиональным участником в процедурах банкротства, не нуждающегося в привлечении дополнительных специалистов по вопросам, непосредственно связанным с предметом его деятельности. Суды пришли к выводу о злоупотреблении заявителем своим правом, признав также повторно оказанные юридические услуги необоснованными и чрезмерно завышенными.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Корнееву Владимиру Григорьевичу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