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16.08.2019, оставленным без изменения постановлением Девятого арбитражного апелляционного суда от 27.01.2020, в иске отказано. Постановлением Арбитражного суда Московского округа от 16.07.2020 решение и постановление апелляционного суда отменены, дело направлено на новое рассмотрение в Арбитражный суд города Москвы. В кассационной жалобе центр просит отменить постановление окружного суда, ссылаясь на отсутствие основания для отмены судебных актов нижестоящих инстанций, исследовавших обстоятельства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обстоятельства, необходимые для разрешения спора применительно к его специфике, поэтому отменил судебные акты в пределах предусмотренных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«Национальный центр информации»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