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27.12.2019, оставленным без изменения постановлением Девятого арбитражного апелляционного суда от 26.03.2020, иск удовлетворен частично, с ответчика в пользу истца взыскано 14 705,08 рублей пени, 1 117,59 рублей неустойки за период с 07.02.2019 по 23.04.2019, в остальной части иска было отказано. Постановлением Арбитражного суда Московского округа 27.07.2020 указанные судебные акты оставлены без изменения. Истец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368 , 374 , 375 , 376 Гражданского кодекса Российской Федерации, суды отказали в удовлетворении иска в обжалуемой части, признав, что спорные требования не обеспечены банковской гарантией в указанной части. Доводы жалобы были предметом исследования судов и получили исчерпывающую правовую оценку исходя из условий банковской гарантии и установленных обстоятельств,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УФСИН России по Самарской области (подробнее) Ответчики: АО Коммерческий Банк "МОДУЛЬБАНК"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