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генподрядчик обратился в суд с исковым заявлением о взыскании с общества с ограниченной ответственностью «Супериор» (далее – заказчик, должник) 255 490 503 рублей 15 копеек задолженности по договору генерального строительного подряда, 15 707 416 рублей 14 копеек процентов за пользование чужими денежными средствами за период с 16.02.2018 по 17.12.2018, процентов за пользование чужими денежными средствами за период с 18.12.2018 по день фактического исполнения обязательства. Решением Арбитражного суда Сахалинской области от 02.07.2019, оставленным без изменения постановлением Пятого арбитражного апелляционного суда от 22.06.2020, исковые требования удовлетворены в полном объёме. Постановлением Арбитражного суда Дальневосточного округа от 09.09.2020 вышеуказанное постановление апелляционного суда отменено, дело направлено на новое рассмотрение в Пятый арбитражный апелляционный суд. В кассационной жалобе, поданной в Верховный Суд Российской Федерации, заявитель просит отменить постановление суда округа,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 и направляя дело на новое рассмотрение в апелляционный суд, суд округа, руководствуясь разъяснениями, содержащимися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Обзоре судебной практики Верховного Суда Российской Федерации № 1 (2017), утверждённом Президиумом Верховного Суда Российской Федерации 16.02.2017, исходил из того, что он принят без полного исследования всех доказательств и фактических обстоятельств, имеющих существенное значение для правильного разрешения дела, вне проверки приводимых кредитором должника доводов.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«Лентал»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