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Магаданской области от 16.03.2020, оставленным без изменения постановлением Шестого арбитражного апелляционного суда от 02.06.2020, иск удовлетворен. Постановлением Арбитражного суда Дальневосточного округа от 20.08.2020 указанные судебные акты оставлены без изменения. В кассационной жалобе, поступившей в Верховный Суд Российской Федерации, учреждение просит названные по делу судебные акты отменить, считая их принятыми с существенным нарушением норм материального и процессуального права.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Суды, руководствуясь статьями 15 , 1064 Гражданского кодекса Российской Федерации, статьями 11, 26.1, 28 Федерального закона от 01.04.1996 № 27-ФЗ «Об индивидуальном (персонифицированном) учете в системе обязательного пенсионного страхования», пришли к выводу о наличии причинно-следственной связи между фактом причинения убытков и действиями страхователя по предоставлению сведений индивидуального (персонифицированного) учета за октябрь 2016 года, в связи с чем признали требования фонда обоснованными. Доводы жалобы сводятся к несогласию заявителя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ГУ Управление Пенсионного фонда РФ в г. Магадане Магаданской области межрайонное (подробнее) Ответчики: МБУ г. Магадана "Горжилсервис" (подробнее) Судьи дела: Першутов А.Г.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