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09.12.2019, оставленным без изменения постановлением Десятого арбитражного апелляционного суда от 27.02.2020, заявленное требование удовлетворено. Постановлением Арбитражного суда Московского округа от 22.07.2020 указанные судебные акта оставлены без изменения. Административный орган в кассационной жалобе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обществу как управляющей компании вменяется осуществление предпринимательской деятельности по управлению многоквартирными домами с грубым нарушением лицензионных требований. Частью 3 статьи 14.1.3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грубым нарушением лицензионных требований. При рассмотрении дела суды, руководствуясь положениями части 1 статьи 161 Жилищного кодекса Российской Федерации, пункта 4(1) Положения о лицензировании предпринимательской деятельности по управлению многоквартирными домами, утвержденного постановлением Правительства Российской Федерации от 28.10.2014 № 1110, исходили из того, что административным органом не доказано наличие в действиях общества состава вмененного правонарушения, поскольку наличие и размер задолженности общества по оплате поставленной тепловой энергии с учетом всех представленных в материалы административного дела доказательств не исследовались. Доводы жалобы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"Управляющая компания "Аквилон" (подробнее) Ответчики: ГУ МО "ГЖИ МО"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