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25.12.2019, оставленным без изменения постановлением Пятнадцатого арбитражного апелляционного суда от 19.03.2020, в иске отказано. Постановлением Арбитражного суда Северо-Кавказского округа от 31.07.2020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в иске отказали, признав недоказанным факт выполнения работ надлежащего качества, не достижение цели контракта, а также исходя из того, что выполненные обществом как подрядчиком работы потребительской ценности для заказчика не имеют. Доводы кассационной жалобы были предметом исследования судов трех инстанций и получили исчерпывающую правовую оценку применительно к конкретным установленным обстоятельствам и представленным сторонами доказательствам,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"ЦЕНТР СУДОРЕМОНТА "ЗВЕЗДОЧКА" (подробнее) ООО "Морские Пропульсивные Системы" (подробнее) Ответчики: ФГКУ Пограничное управление Федеральной службы безопасности РФ по КК (подробнее) ФГКУ "Пограничное управление ФСБ РФ по КК" (подробнее) федеральное государственное казенное учреждение "Пограничное управление Федеральной службы безопасности Российской Федерации по Краснодарскому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