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25.09.2019, оставленным без изменения постановлением Девятого арбитражного апелляционного суда от 30.01.2020, в удовлетворении иска отказано. Арбитражный суд Московского округа постановлением от 24.07.2020 решение от 25.09.2019 и постановление Девятого арбитражного апелляционного суда от 30.01.2020 оставил без изменения. В кассационной жалобе общество «Страховая компания «Арсеналъ» просит об отмене судебных актов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страховое возмещение выплачено обществом «Страховая компания «Арсеналъ» в связи со страховым случаем, попадающим под действие контракта от 12.09.2016 № 31/29 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Федерации». В отсутствие основания для переложения спорной суммы на ответчика в иске правомерно отказано.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