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его требований в размере 45 000 000 рублей как обеспеченных залогом имущества должника – земельного участка с кадастровым номером 50:20:0070227:1446. Определением Арбитражного суда Московской области от 15.11.2019, оставленным без изменения постановлениями Десятого арбитражного апелляционного суда от 18.03.2020 и Арбитражного суда Московского округа от 17.07.2020, заявление признано обоснованным и подлежащим удовлетворению за счёт имущества должника, оставшегося после удовлетворения требований реестровых кредиторов.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 включении требований в третью очередь реестра как обеспеченных залогом имущества.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положениями статей 16, 71, 100, 138, 142 Федерального закона от 26.10.2002 № 127-ФЗ «О несостоятельности (банкротстве)», пунктом 4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того, что требования общества, осведомлённого о ходе движения настоящего дела о банкротстве и возврате предмета залога в конкурсную массу в порядке применения последствий недействительности сделки должника, заявлены после закрытия реестра, в связи чем указанное лицо утратило специальные права залогового кредитора, но сохранило за собой право на удовлетворение требований за счёт оставшегося после удовлетворения требований реестровых кредиторов имущества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«Логрус»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