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27.12.2019, оставленным без изменения постановлением Седьмого арбитражного апелляционного суда от 18.06.2020, требования удовлетворены. Постановлением Арбитражного суда Западно-Сибирского округа от 26.08.2020 указанные судебные акты отменены в части признания недействительным решения фонда относительно предложения представить корректирующие сведения индивидуального (персонифицированного) учета по форме СЗВ-корр в части специального страхового стажа, в указанной части дело направлено на новое рассмотрение в суд первой инстанции, в остальной части судебные акты оставлены без изменения. Общество обратилось в Верховный Суд Российской Федерации с кассационной жалобой, в которой просит постановление суда округа в части направления дела на новое рассмотрение отменить, считая его принятым с нарушением норм материального и процессуального права в указанной части.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в части и направил дело в указанной части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по вышеуказанному эпизоду, и с учетом результата их оценки в совокупности и взаимосвязи принять обоснованное решение относительно необходимости корректировки сведений индивидуального (персонифицированного) учета.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АО Угольная Компания "Кузбассразрезуголь" (подробнее) Ответчики: ГУ Управление Пенсионного Фонда Российской Федерации в г. Кемерово Кемеровской Области Межрайонное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