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Брянской области от 01.11.2019, оставленным без изменения постановлением Двадцатого арбитражного апелляционного суда 05.02.2020, в удовлетворении заявления отказано. Постановлением Арбитражного суда Центрального округа от 15.07.2020 указанные судебные акты оставлены без изменения. Общество просит отменить обжалуемые судебные акты, считая их принятыми с нарушением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Налогового кодекса Российской Федерации, суды отказали в удовлетворении заявления, признав, что поступившие от должника обществу (цессионарию) в счет погашения дебиторской задолженности денежные средства подлежат учету при определении налоговой базы. Приведенные в жалобе доводы были предметом исследования судов и получили исчерпывающую правовую оценку с учетом установленных фактических обстоятельств дела, связанных с действительными налоговыми обязательствами общества.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"Сельскохозяйственное Предприятие Карачевский" (подробнее) Ответчики: Межрайонная инспекция Федеральной налоговой службы №5 по Брянской области (подробнее) Иные лица: МиФНС России №5 по Брянской области (подробнее) УФНС по Брянской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