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20.12.2019, оставленным без изменения постановлением Семнадцатого арбитражного апелляционного суда от 19.03.2020, иск удовлетворен частично, с ответчика в пользу истца взыскано 34 897,63 рубля пени, 27 002,62 рубля штрафа, в удовлетворении остальной части иска отказано. Постановлением Арбитражного суда Уральского округа от 14.07.2020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частично, признав нарушение сроков поставки товара и ненадлежащее исполнение обязательства по поставке товара в полном объеме, снизив размер штрафа на основании статьи 333 Гражданского кодекса Российской Федерации.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свидетельствующим, что неустойка начислена на стоимость контракта (одну партию товара),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Бюджетное учреждение здравоохранения Удмуртской Республики "Первая республиканская клиническая больница Министерства здравоохранения Удмуртской Республики" (подробнее) Ответчики: ООО "МС-комплект" (подробнее) Судьи дела: Першутов А.Г.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