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об исключении из конкурсной массы квартиры № 7, расположенной по адресу: &lt;...&gt;. Определением Арбитражного суда Саратовской области от 03.03.2020, оставленным без изменения постановлениями Двенадцатого арбитражного апелляционного суда от 19.05.2020 и Арбитражного суда Поволжского округа от 31.07.2020,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Саратовской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статьями 213.5, 213.25 Федерального закона от 26.10.2002 № 127-ФЗ «О несостоятельности (банкротстве), исходили из обстоятельств злоупотребления заявителем своим правом и направленности её действий на искусственное создание видимости наличия исполнительского иммунитета в отношении жилья, не являющегося единственным пригодным для проживания и ранее являвшимся предметом сделки, признанной недействительной в судебном порядке.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Финансовый управляющий Болотников Н.В. (подробнее) Иные лица: Межрайонной ИФНС России №8 по СО (подробнее) ООО "Бюро по оценки имущества и аудит" (подробнее) ООО "Спэл"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