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10.02.2020 судом принят отказ от иска, производство по делу прекращено. Общество обратилось в арбитражный суд с заявлением о взыскании судебных расходов в размере 35 188 рублей. Определением Арбитражного суда Сахалинской области от 09.06.2020, оставленным без изменения постановлением Пятого арбитражного апелляционного суда от 17.07.2020, с учреждения в пользу общества взыскано 10 188 рублей судебных расходов (10 000 рублей расходы на оплату услуг представителя, 118 рублей почтовых расходов), в удовлетворении остальной части требований отказано. Постановлением Арбитражного суда Дальневосточного округа от 10.09.2020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обжалуемые судебные акты в части отказа в удовлетворении заявленных требований, считая их принятыми с существенным нарушением норм процессуального права. Исходя из доводов жалобы,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установлено. Руководствуясь положениями статьей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признали, что заявленные судебные расходы соответствуют объему фактически оказанных услуг, характеру и сложности рассматриваемого спора, являются разумными и обоснованными в размере 10 188 рублей. Доводы, изложенные в кассационной жалобе, являлись предметом рассмотрения судов,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Муниципальное казенное учреждение городского округа "город Южно-Сахалинск" "Управление капитального строительства" (подробнее) Ответчики: ООО "Донпроект"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