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27.05.2019 иск удовлетворен. Девятый арбитражный апелляционный суд постановлением от 14.01.2020 отменил решение от 27.05.2019 и в удовлетворении иска отказано. Арбитражный суд Московского округа постановлением от 20.07.2020 постановление Девятого арбитражного апелляционного суда от 14.01.2020 оставил без изменения. В кассационной жалобе общество «Страховая компания «Арсеналъ» просит об отмене постановлений апелляционного и окружного судов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страховое возмещение выплачено обществом «Страховая компания «Арсеналъ» в связи со страховым случаем, попадающим под действие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Федерации». Таким образом, вывод судов об отсутствии основания для переложения выплаченной суммы на ответчика соответствует закону и договору.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