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22.01.2020, оставленным без изменения постановлением Восемнадцатого арбитражного апелляционного суда от 20.05.2020, заявленные требования удовлетворены. Постановлением Арбитражного суда Уральского округа от 16.09.2020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размещении предпринимателем нестационарного павильона на принадлежащем РФ земельном участке в отсутствие оформленных в установленном порядке документов на землю. Статьей 7.1 Кодекса Российской Федерации об административных правонарушениях установлена административная ответственность за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Оценив представленные доказательства, суды признали недоказанным в действиях предпринимателя состав правонарушения, ответственность за совершение которого предусмотрена статьей 7.1 Кодекса Российской Федерации об административных правонарушениях. Размещение предпринимателем на спорном земельном участке автостоянки сам по себе не подтверждает размещение и использование предпринимателем на этом же земельном участке нестационарного павильона; при этом использование спорного земельного участка для размещения нестационарного торгового объекта не требует оформления прав на спорный земельный участок. Более того, предприниматель уже привлечен к ответственности за самовольное занятие спорного земельного участка, который используется для размещения и эксплуатации автостоянки, что не оспаривается административным органом.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Управление Федеральной службы государственной регистрации, кадастра и картографии по Челябинской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