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«Парадигма» подало кассационную жалобу на судебные акты, принятые в порядке упрощенного производства. Частью 3 статьи 291.1 Арбитражного процессуального кодекса Российской Федерации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Поскольку жалоба не может быть рассмотрена по существу, производство по ней подлежит прекращению применительно к пункту 1 части 1 статьи 150 Арбитражного процессуального кодекса Российской Федерации. По представленному в электронном виде документу уплаченная за подачу жалобы государственная пошлина возврату принимаемым определением не подлежит. Руководствуясь статьями 150 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общества с ограниченной ответственностью «Парадигма» на решение Арбитражного суда города Санкт-Петербурга и Ленинградской области от 11.02.2020 по делу № А56-112106/2019, постановление Тринадцатого арбитражного апелляционного суда от 18.03.2020 и постановление Арбитражного суда Северо-Западного округа от 23.07.2020 по тому же делу. Судья Верховного Суда Российской Федерации Н.А. Ксенофонтова Суд: Верховный Суд РФ (подробнее) Истцы: ООО "Парадигма" (подробнее) Ответчики: АО "Российский сельскохозяйственный банк"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