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21.11.2018 заявленные требования удовлетворены. Постановлением Тринадцатого арбитражного апелляционного суда от 27.03.2019 по апелляционной жалобе Тиминой И.В. решение суда первой инстанции изменено, из мотивировочной части исключена фраза: «Однако ИП Тимина И.В. уклонилась от подписания договора купли-продажи дебиторской задолженности». ФИО1 обратилась в арбитражный суд с заявлением о взыскании с ФИО2 судебных расходов на оплату услуг представителя в размере 52 364 рублей. Определением Арбитражного суда города Санкт-Петербурга и Ленинградской области от 10.02.2020, оставленным без изменения постановлением Тринадцатого арбитражного апелляционного суда от 26.05.2020, заявленные требования удовлетворены частично в размере 10 000 рублей, в удовлетворении остальной части требований отказано. Постановлением Арбитражного суда Северо-Западного округа от 09.09.2020 указанные судебные акты оставлены без изменения. В кассационной жалобе, поступившей в Верховный Суд Российской Федерации, ФИО1 просит отменить обжалуемые судебные акты в части отказа в удовлетворении заявленных требований, считая их принятыми с существенным нарушением норм процессуального права. Исходя из доводов жалобы, оснований для ее передачи для рассмотрения в судебном заседании Судебной коллегии по экономическим спорам Верховного Суда Российской Федерации не установлено. Руководствуясь положениями статьей 101 , 106 , 110 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суды признали, что заявленные судебные расходы соответствуют объему фактически оказанных услуг, характеру и сложности рассматриваемого спора, являются разумными и обоснованными в размере 10 000 рублей. Доводы, изложенные в кассационной жалобе, являлись предметом рассмотрения судов, им дана исчерпывающая правовая оценка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Управление Федеральной антимонопольной службы по Санкт-Петербургу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