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незаконным бездействия конкурсного управляющего должником Логвинова Александра Николаевича. Определением Арбитражного суда города Москвы от 22.10.2019, оставленным без изменения постановлением Девятого арбитражного апелляционного суда от 20.01.2020, заявление удовлетворено частично. Постановлением Арбитражного суда Московского округа от 16.07.2020 вышеуказанные судебные акты в обжалуемой конкурсным управляющим части отменены, в отменённой части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принятые судебные акты в обжалуемой части и направляя дело на новое рассмотрение, суд округа руководствовался статьями 20.3, 60, 67, 70 Федерального закона от 26.10.2002 № 127-ФЗ «О несостоятельности (банкротстве)», постановлением Правительства Российской Федерации от 25.06.2003 № 367 «Об утверждении правил проведения арбитражным управляющим финансового анализа» и исходил из того, что изложенные в них выводы основаны на неполном выяснении фактических обстоятельств дела, имеющихся в нём доказательств, в том числе, заслуживающих внимания, однако не получивших надлежащей оценки, доводов конкурсного управляющего.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При новом рассмотрении заявитель не лишен возможности изложить свои доводы и возражения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в обжалуемой части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Пикуле Андрею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