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25.11.2019, оставленным без изменения постановлением Девятого арбитражного апелляционного суда от 17.03.2020, в удовлетворении иска отказано. Постановлением Арбитражного суда Московского округа от 15.07.2020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309 , 310 Гражданского кодекса Российской Федерации, 23, 143, 164, 168, 174 Налогового кодекса Российской Федерации, части 2 статьи 2 Федерального закона от 18.07.2011 № 223-ФЗ «О закупках товаров, работ, услуг отдельными видами юридических лиц», суды отказали в иске, признав, что изменение цены договора в связи с изменением ставки налога на добавленную стоимость противоречит в рассматриваемом случае положениям соответствующего договора и положению о закупке.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"МЭЙКОР-СЕРВИС" (подробнее) Ответчики: ФГУП "Почта России"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