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17.10.2019, оставленным без изменения постановлением Восемнадцатого арбитражного апелляционного суда от 03.02.2020, взыскано 8 612 850 рублей задолженности и 50 000 рублей расходов на юридические услуги. Арбитражный суд Уральского округа постановлением от 14.07.2020 решение от 17.10.2019 и постановление Восемнадцатого арбитражного апелляционного суда от 03.02.2020 оставил без изменения. В кассационной жалобе акционерное общество просит об отмене судебных актов, ссылаясь на нарушение норм права о доказывании и оценке доказательств, отсутствие договора в спорный период и злоупотребление правом со стороны истца, предъявившего требование ненадлежащему лицу.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исследовав оформленные сторонами путевые листы, установили, что в период с 15.05.2018 по 20.09.2018 истец фактически оказал ответчику услуги в рамках заключенного сторонами договора перевозки пассажиров от 15.05.2018 № ТБ-03/256 на заявленную сумму.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«Турбаслинские бройлеры»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ОАО "Турбаслинские бройлеры" (подробнее) Иные лица: МВД России отдел полиции №9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