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16.12.2019, оставленным без изменения постановлением Тринадцатого арбитражного апелляционного суда от 23.03.2020 и постановлением Арбитражного суда Северо-Западного округа от 22.07.2020, взыскано 1 000 000 рублей неустойки, 4 359 рублей 11 копеек процентов за пользование чужими денежными средствами. В кассационной жалобе учреждение просит о пересмотре судебных актов, ссылаясь на отсутствие обязанности уплачивать неустойку за период отсрочки и рассрочки судом уплаты основного долга.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учреждения, влияющие на размер неустойки, учтены истцом при уточнении периода начисления неустойки и судом при уменьшении в силу статьи 333 Гражданского кодекса Российской Федерации ее размера.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бюджетному учреждению «Чистота» городского округа «Город Калининград»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"Сан Антол" (подробнее) Ответчики: МБУ "Чистота" городского округа "Город Калининград" (подробнее) Иные лица: Тринадцатый арбитражный апелляционный суд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