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03.12.2019, оставленным без изменения постановлением Семнадцатого арбитражного апелляционного суда от 04.03.2020, в удовлетворении требования отказано. Постановлением Арбитражного суда Уральского округа от 06.07.2020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нарушении установленных требований при проведении экспертизы промышленной безопасности газифицированных котельных, вынесено предписание об устранении нарушений. Частью 1 статьи 9.1 Кодекса Российской Федерации об административных правонарушениях установлена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суды пришли к выводу о законности оспариваемого предписания и наличии в действиях общества состава правонарушения, ответственность за совершение которого предусмотрена частью 1 статьи 9.1 Кодекса Российской Федерации об административных правонарушениях. Процедура и срок давности привлечения к ответственности соблюдены, оснований для признания применения положений статьи 2.9 Кодекса Российской Федерации об административных правонарушениях судами не установлено. Доводы жалобы повторяют позицию общества по делу, являлись предметом рассмотрения судов и получили исчерпывающую правовую оценку в обжалуемых судебных актах с учетом того, что спорные нарушения являлись предметом рассмотрения и подтверждены судом в рамках дела № А60-3921/2019,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"Бюро технических экспертиз" (подробнее) Ответчики: Уральское Управление Федеральной службы по экологическому, технологическому и атомному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