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13.11.2019, оставленным без изменения постановлением Первого арбитражного апелляционного суда от 20.02.2020 и постановлением Арбитражного суда Волго-Вятского округа от 06.08.2020, в удовлетворении иска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исковое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(генподрядчик) заключен муниципальный контракт на строительство объекта «Физкультурно-оздоровительный комплекс по проспекту Гагарина в Приокском районе». В обоснование иска общество сослалось на ненадлежащее исполнение учреждением обязательств по контракту, повлекшее несение генподрядчиком 66 104 173 рублей 86 копеек убытков, из которых 4 400 000 рублей расходов на охрану строительной площадки за период приостановления выполнения работ и 61 704 173 рубля 86 копеек процентов по кредитным договорам от 04.04.2014 № 09-2014/Л и № 10-2014/Л. Оценив представленные в материалы дела доказательства, суды, руководствуясь положениями статей 12 , 15 , 393 , 453 , 704 , 709 , 718 , 743 , 744 , 763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 недоказанности истцом совокупности условий, необходимых для возложения на ответчика обязанности по возмещению убытков в заявленной сумме. Судебные инстанции исходили из того, что срок выполнения работ по контракту переносился судом по искам общества и по соглашению сторон, при этом какие-либо изменения в условия контракта в части обязательств генподрядчика по несению расходов на охрану объекта не вносились, что свидетельствует о согласии общества с несением данных расходов в спорный период и отсутствии оснований для возложения их оплаты на учреждение. Также суды указали на добровольное заключение истцом кредитного договора, проценты за пользование кредитом по которому возникли вследствие исполнения обществом принятых на себя обязательств перед банком и обязательны к уплате независимо от способа распоряжения заемными средствами, в связи с чем не могут быть отнесены на учреждение. Доказательств наличия причинно-следственной связи между ненадлежащим исполнением ответчиком обязательств по муниципальному контракту и обязанностью истца по уплате процентов за пользование кредитом не представлено. Доводы, изложенные в кассационной жалобе, рассмотрены судами, не опровергают их выводы и не подтверждают существенных нарушений норм материального и процессуального права, повлиявших на исход дела. Приведенные доводы не свидетельствуют о допущенной при рассмотрении дела судебной ошибке, по существу, выражают несогласие общества с выводами судов по фактическим обстоятельствам спора и основаны на ином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«Фирст-НН»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"ФИРСТ-НН" (подробнее) Ответчики: Муниципальное казенное учреждение "Главное управление по капитальному строительству города Нижнего Новгорода" (МКУ ГлавУКС г. Н.Новгорода)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