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30.01.2020, оставленным без изменения постановлением Седьмого арбитражного апелляционного суда от 18.03.2020, в удовлетворении требования отказано. Постановлением Арбитражного суда Западно-Сибирского округа от 03.07.2020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расчетов с иностранным гражданином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При этом суды исходили из того, что валютным законодательством определен исчерпывающий перечень случаев, при которых юридические лица - резиденты могут осуществлять расчеты с физическими лицами - нерезидентами в наличной иностранной валюте и валюте Российской Федерации без использования банковских счетов в уполномоченных банках. Таких обстоятельств судами не выявлено. Суды признали, что процедура привлечения к административной ответственности не нарушена, вина установлена, основания для применения положений статьи 2.9 , части 3.2 статьи 4.1 , статьи 4.1.1 Кодекса Российской Федерации об административных правонарушениях отсутствуют с учетом представленных в дело доказательств.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Ссылка на постановление Верховного Суда Российской Федерации № 302-АД14-4826 несостоятельна, поскольку по приведенному делу спор касался расчетов по договору розничной купли-продажи.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"Восток Транс" (подробнее) Ответчики: МИФНС России №9 по Кемеровской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