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14.11.2019, оставленным без изменения постановлением Семнадцатого арбитражного апелляционного суда от 22.01.2020, иск удовлетворен. Арбитражный суд Уральского округа постановлением от 13.07.2020 отменил решение от 14.11.2019 и постановление Семнадцатого арбитражного апелляционного суда от 22.01.2020 и в удовлетворении иска отказал. В кассационной жалобе общество «Сокора» просит об отмене постановления окружного суда как основанного на условиях страхования, противоречащих закону.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спора, суды установили, что страховая защита предоставлялась на условиях договора добровольного страхования от 07.11.2017 № 006АТ-17/07565, предусматривающего безусловную франшизу в размере 20% по риску угон/хищение, а также уменьшение предусмотренной договором страховой стоимости имущества на величину амортизационного износа. Определение страховой стоимости имущества на день наступления страхового случая и с учетом установленной франшизы не противоречит статьям 942 , 943 Гражданского кодекса Российской Федерации и в силу пункта 5 статьи 10 Закона Российской Федерации от 27.11.1992 № 4015-1 «Об организации страхового дела в Российской Федерации» соответствует понятию полной страховой суммы, применяемому при исчислении размера страхового возмещения в случае гибели имущества, на что правильно указали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«Сокора»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СОКОРА (подробнее) Ответчики: АО "Группа Ренессанс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