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17.12.2019, оставленным без изменения постановлением Пятнадцатого арбитражного апелляционного суда от 19.03.2020, в удовлетворении требования отказано. Постановлением Суда по интеллектуальным правам от 30.07.2020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удовлетворения жалобы. Оценив представленные доказательства, суды установили, что таможенным органом приняты необходимые меры по установлению фактических обстоятельств, имеющих значение для решения вопроса о необходимости возбуждении дела об административном правонарушении, факт приобретения товара с целью введения в гражданский оборот на территории РФ не установлен. Оснований не согласиться с указанными выводами судов исходя из доводов жалобы не имеется. При этом передача жалобы для рассмотрения в судебном заседании Судебной коллегии Верховного Суда Российской Федерации в рассматриваемом случае не приведет к защите нарушенных прав, свобод, законных интересов в сфере предпринимательской и иной экономической деятельности, а также защите охраняемых законом публичных интересов с учетом истечения срока давности привлечения к административной ответственности, что является обстоятельством, исключающим производство по делу об административном правонарушении.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"Автомобильный завод "ГАЗ" (подробнее) ООО "Автомрбильный завод "ГАЗ" (подробнее) Ответчики: Ростовская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