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27.11.2019, оставленным без изменения постановлением Девятого арбитражного апелляционного суда от 04.02.2020 и постановлением Арбитражного суда Московского округа от 20.07.2020, иск удовлетворен. В кассационной жалобе общество «РУС ЭКС-перт» просит о пересмотре судебных актов, ссылаясь на игнорирование заявления о фальсификации основания получения денежных средств и неправильное распределение бремени доказывания.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доказанным ответчиком основание получения заявленной денежной суммы, поэтому не установили у нее признаков для взыскания в силу статьи 1102 Гражданского кодекса Российской Федерации. Заявление о фальсификации доказательств рассмотрено судом первой инстанции.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 «РУС ЭКС-перт»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"РУС ЭКС-перт" (подробнее) Ответчики: ООО "САЛОН-МАГАЗИН"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