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14.05.2019, оставленным без изменения постановлением Двадцать первого арбитражного апелляционного суда от 18.12.2019, первоначальный иск удовлетворен, в удовлетворении встречного иска отказано. Арбитражный суд Центрального округа постановлением от 10.07.2020 решение от 14.05.2019 и постановление Двадцать первого арбитражного апелляционного суда от 18.12.2019 оставил без изменения. В кассационной жалобе общество просит об отмене судебных актов в отношении встречного иска, ссылаясь на неправомерный отказ в его удовлетворении в отсутствие оспаривания объема и качества услуг.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отсутствие указания в реестре счетов основания оказания медицинской помощи, требуемого в силу Тарифного соглашения в сфере обязательного медицинского страхования Республики Крым на 2017, невозможно проверить объем и качество оказанной медицинской помощи при первичном медико-экономическом контроле, поэтому признали претензии организации при осуществлении такого контроля правомерными, а их последующее неустранение – влекущим не противоречащий законодательству в сфере ОМС отказ в оплате медицинских услуг. Иная оценка заявителем действий организации не составляет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«РЕАМЕД-ЗДОРОВЬЕ»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