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Курбанов А.А. обратился в суд с заявлением о включении в реестр требований кредиторов должника задолженности в размере 59 088 244 рубля 33 копейки. Определением Арбитражного суда города Москвы от 16.01.2020, оставленным без изменения постановлениями Девятого арбитражного апелляционного суда от 14.07.2020 и Арбитражного суда Московского округа от 24.08.2020, в принятии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для разрешения заявления по существу.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принятии заявления, суд первой инстанции руководствовался пунктом 2 части 1 статьи 127.1 Арбитражного процессуального кодекса Российской Федерации, статьями 2, 4, 32 Федерального закона от 26.10.2002 № 127-ФЗ «О несостоятельности (банкротстве)», и исходил из того, что ранее вступившим в законную силу судебным актом требование заявителя по тем же предмету и основаниям оставлено без удовлетворения.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Курбанову Алты Алланазаровичу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